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4C861BAC" w:rsidR="00AD29B7" w:rsidRDefault="00A556CF">
      <w:r w:rsidRPr="0000089F">
        <w:rPr>
          <w:b/>
          <w:smallCaps/>
          <w:noProof/>
          <w:sz w:val="20"/>
        </w:rPr>
        <mc:AlternateContent>
          <mc:Choice Requires="wps">
            <w:drawing>
              <wp:anchor distT="0" distB="0" distL="114300" distR="114300" simplePos="0" relativeHeight="251659264" behindDoc="0" locked="0" layoutInCell="0" allowOverlap="1" wp14:anchorId="5F8C6094" wp14:editId="5A75DB6D">
                <wp:simplePos x="0" y="0"/>
                <wp:positionH relativeFrom="column">
                  <wp:posOffset>5041126</wp:posOffset>
                </wp:positionH>
                <wp:positionV relativeFrom="paragraph">
                  <wp:posOffset>-27830</wp:posOffset>
                </wp:positionV>
                <wp:extent cx="1661823" cy="26035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22833A40" w:rsidR="002F2EDC" w:rsidRDefault="002F2EDC" w:rsidP="002F2EDC">
                            <w:pPr>
                              <w:rPr>
                                <w:u w:val="single"/>
                              </w:rPr>
                            </w:pPr>
                            <w:r w:rsidRPr="00CF79D4">
                              <w:t>Date:</w:t>
                            </w:r>
                            <w:r>
                              <w:rPr>
                                <w:u w:val="single"/>
                              </w:rPr>
                              <w:t xml:space="preserve"> _</w:t>
                            </w:r>
                            <w:r w:rsidR="00A556CF">
                              <w:rPr>
                                <w:sz w:val="20"/>
                                <w:szCs w:val="20"/>
                                <w:u w:val="single"/>
                              </w:rPr>
                              <w:t>3/2022</w:t>
                            </w:r>
                            <w:r>
                              <w:rPr>
                                <w:u w:val="single"/>
                              </w:rPr>
                              <w:t>_________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6.95pt;margin-top:-2.2pt;width:130.8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" o:allowincell="f" stroked="f">
                <v:textbox>
                  <w:txbxContent>
                    <w:p w14:paraId="4F630FF0" w14:textId="22833A40" w:rsidR="002F2EDC" w:rsidRDefault="002F2EDC" w:rsidP="002F2EDC">
                      <w:pPr>
                        <w:rPr>
                          <w:u w:val="single"/>
                        </w:rPr>
                      </w:pPr>
                      <w:r w:rsidRPr="00CF79D4">
                        <w:t>Date:</w:t>
                      </w:r>
                      <w:r>
                        <w:rPr>
                          <w:u w:val="single"/>
                        </w:rPr>
                        <w:t xml:space="preserve"> _</w:t>
                      </w:r>
                      <w:r w:rsidR="00A556CF">
                        <w:rPr>
                          <w:sz w:val="20"/>
                          <w:szCs w:val="20"/>
                          <w:u w:val="single"/>
                        </w:rPr>
                        <w:t>3/2022</w:t>
                      </w:r>
                      <w:r>
                        <w:rPr>
                          <w:u w:val="single"/>
                        </w:rPr>
                        <w:t>_________ 220222022222022__________</w:t>
                      </w:r>
                    </w:p>
                  </w:txbxContent>
                </v:textbox>
              </v:shape>
            </w:pict>
          </mc:Fallback>
        </mc:AlternateContent>
      </w:r>
    </w:p>
    <w:p w14:paraId="613F6282" w14:textId="23429620"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3324A57A" w:rsidR="002F2EDC" w:rsidRPr="00917F6C" w:rsidRDefault="00A556CF" w:rsidP="0094215C">
            <w:r>
              <w:t>Custodial Services Manager II</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76DA96CE" w:rsidR="002F2EDC" w:rsidRPr="00917F6C" w:rsidRDefault="00A556CF" w:rsidP="0094215C">
            <w:r>
              <w:t>G</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2A0F1A69" w:rsidR="002F2EDC" w:rsidRPr="00917F6C" w:rsidRDefault="00A556CF" w:rsidP="0094215C">
            <w:r>
              <w:t>Associate Director of Building Care</w:t>
            </w:r>
          </w:p>
        </w:tc>
        <w:tc>
          <w:tcPr>
            <w:tcW w:w="1255" w:type="dxa"/>
            <w:tcBorders>
              <w:right w:val="nil"/>
            </w:tcBorders>
            <w:shd w:val="clear" w:color="auto" w:fill="auto"/>
          </w:tcPr>
          <w:p w14:paraId="768504D2" w14:textId="0AE4BB87" w:rsidR="002F2EDC" w:rsidRPr="00E52E85" w:rsidRDefault="002F2EDC" w:rsidP="0094215C">
            <w:r w:rsidRPr="00E52E85">
              <w:t xml:space="preserve">Exempt: </w:t>
            </w:r>
            <w:sdt>
              <w:sdtPr>
                <w:id w:val="-987711266"/>
                <w14:checkbox>
                  <w14:checked w14:val="1"/>
                  <w14:checkedState w14:val="2612" w14:font="MS Gothic"/>
                  <w14:uncheckedState w14:val="2610" w14:font="MS Gothic"/>
                </w14:checkbox>
              </w:sdtPr>
              <w:sdtEndPr/>
              <w:sdtContent>
                <w:r w:rsidR="00A556CF">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2F2EDC" w:rsidRPr="00E52E85" w:rsidRDefault="002F2EDC" w:rsidP="0094215C">
            <w:pPr>
              <w:ind w:left="-18" w:right="-102"/>
            </w:pPr>
            <w:r w:rsidRPr="00E52E85">
              <w:t>Nonexempt:</w:t>
            </w:r>
            <w:r w:rsidR="007D1B2F">
              <w:t xml:space="preserve"> </w:t>
            </w:r>
            <w:sdt>
              <w:sdtPr>
                <w:id w:val="72484706"/>
                <w14:checkbox>
                  <w14:checked w14:val="0"/>
                  <w14:checkedState w14:val="2612" w14:font="MS Gothic"/>
                  <w14:uncheckedState w14:val="2610" w14:font="MS Gothic"/>
                </w14:checkbox>
              </w:sdtPr>
              <w:sdtEndPr/>
              <w:sdtContent>
                <w:r w:rsidR="007D1B2F">
                  <w:rPr>
                    <w:rFonts w:ascii="MS Gothic" w:eastAsia="MS Gothic" w:hAnsi="MS Gothic" w:hint="eastAsia"/>
                  </w:rPr>
                  <w:t>☐</w:t>
                </w:r>
              </w:sdtContent>
            </w:sdt>
            <w:r w:rsidRPr="00E52E85">
              <w:t xml:space="preserve"> </w:t>
            </w:r>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4DF93D58" w:rsidR="002F2EDC" w:rsidRPr="00917F6C" w:rsidRDefault="00A556CF" w:rsidP="0094215C">
            <w:r>
              <w:t>Building Care</w:t>
            </w:r>
          </w:p>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66DA6F7E" w:rsidR="002F2EDC" w:rsidRPr="00917F6C" w:rsidRDefault="00A556CF" w:rsidP="0094215C">
            <w:r>
              <w:t>Director of Building Care</w:t>
            </w:r>
          </w:p>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3E3823">
        <w:trPr>
          <w:trHeight w:hRule="exact" w:val="141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6044EA66"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College/Unit Statement</w:t>
            </w: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A556CF">
        <w:trPr>
          <w:trHeight w:val="639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32FBE33A" w14:textId="77777777" w:rsidR="00A556CF" w:rsidRPr="00A078D8" w:rsidRDefault="00A556CF" w:rsidP="00A556CF">
            <w:pPr>
              <w:jc w:val="both"/>
            </w:pPr>
            <w:r w:rsidRPr="00A078D8">
              <w:t>With general guidance from the Building Care Director, the Assistant Director is independently and comprehensively responsible for the management of operations involving six individual custodial maintenance complexes across the Cornell campus. Each complex is supervised by a custodial manager and is comprised of 20-25 custodians who report into a separate time clock area. Cumulatively, the Assistant Director oversees operations involving the maintenance of 50-60 buildings, 3,500,000 square feet of area maintained, six managers and 125 Building Care custodians.</w:t>
            </w:r>
          </w:p>
          <w:p w14:paraId="04490416" w14:textId="77777777" w:rsidR="00A556CF" w:rsidRPr="00A078D8" w:rsidRDefault="00A556CF" w:rsidP="00A556CF"/>
          <w:p w14:paraId="002E7592" w14:textId="77777777" w:rsidR="00A556CF" w:rsidRPr="00A078D8" w:rsidRDefault="00A556CF" w:rsidP="00A556CF">
            <w:r w:rsidRPr="00A078D8">
              <w:t>Remains on-call 24 hours per day, 7 days per week, for emergencies and other special needs that occur outside the normal working hours.</w:t>
            </w:r>
          </w:p>
          <w:p w14:paraId="116110A6" w14:textId="77777777" w:rsidR="00A556CF" w:rsidRPr="00A556CF" w:rsidRDefault="00A556CF" w:rsidP="00A556CF"/>
          <w:p w14:paraId="53C86308" w14:textId="7468ECCB" w:rsidR="00A556CF" w:rsidRPr="00A556CF" w:rsidRDefault="00A556CF" w:rsidP="00A556CF">
            <w:r w:rsidRPr="00A556CF">
              <w:t xml:space="preserve">Ours is a </w:t>
            </w:r>
            <w:r w:rsidRPr="00A556CF">
              <w:t>value</w:t>
            </w:r>
            <w:r w:rsidRPr="00A556CF">
              <w:t>–based organization where all employees are accountable for supporting the organization’s values of truth, respect, excellence, teamwork, and integrity. IPP employees are required to attend staff development trainings and participate in the performance evaluation process.</w:t>
            </w:r>
          </w:p>
          <w:p w14:paraId="6746A215" w14:textId="107D5393" w:rsidR="008C6A61" w:rsidRDefault="008C6A61" w:rsidP="008C6A61">
            <w:pPr>
              <w:textAlignment w:val="baseline"/>
              <w:rPr>
                <w:bCs/>
                <w:smallCaps/>
              </w:rPr>
            </w:pPr>
          </w:p>
          <w:p w14:paraId="6877AAC2" w14:textId="77777777" w:rsidR="00697B0D" w:rsidRPr="00F91BF1" w:rsidRDefault="00697B0D" w:rsidP="000F66BC">
            <w:pPr>
              <w:pStyle w:val="paragraph"/>
              <w:spacing w:before="0" w:beforeAutospacing="0" w:after="0" w:afterAutospacing="0"/>
              <w:textAlignment w:val="baseline"/>
              <w:rPr>
                <w:rStyle w:val="eop"/>
                <w:rFonts w:ascii="Calibri" w:hAnsi="Calibri" w:cs="Calibri"/>
                <w:sz w:val="22"/>
                <w:szCs w:val="22"/>
              </w:rPr>
            </w:pPr>
          </w:p>
          <w:p w14:paraId="3EF04F94" w14:textId="52671563" w:rsidR="009D0BF4" w:rsidRPr="0080705F" w:rsidRDefault="009D0BF4"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A556CF">
        <w:trPr>
          <w:trHeight w:hRule="exact" w:val="711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A556CF">
            <w:pPr>
              <w:pStyle w:val="ListParagraph"/>
              <w:numPr>
                <w:ilvl w:val="0"/>
                <w:numId w:val="18"/>
              </w:numPr>
              <w:ind w:left="436"/>
              <w:textAlignment w:val="baseline"/>
              <w:rPr>
                <w:rFonts w:eastAsia="Times New Roman"/>
              </w:rPr>
            </w:pPr>
            <w:r>
              <w:rPr>
                <w:rFonts w:eastAsia="Times New Roman"/>
                <w:shd w:val="clear" w:color="auto" w:fill="FFFFFF"/>
              </w:rPr>
              <w:lastRenderedPageBreak/>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A556CF">
            <w:pPr>
              <w:ind w:left="436"/>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A556CF">
            <w:pPr>
              <w:pStyle w:val="ListParagraph"/>
              <w:numPr>
                <w:ilvl w:val="0"/>
                <w:numId w:val="18"/>
              </w:numPr>
              <w:ind w:left="436"/>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w:t>
            </w:r>
            <w:proofErr w:type="gramStart"/>
            <w:r w:rsidRPr="00E72BA1">
              <w:rPr>
                <w:rFonts w:eastAsia="Times New Roman"/>
              </w:rPr>
              <w:t>understanding of</w:t>
            </w:r>
            <w:proofErr w:type="gramEnd"/>
            <w:r w:rsidRPr="00E72BA1">
              <w:rPr>
                <w:rFonts w:eastAsia="Times New Roman"/>
              </w:rPr>
              <w:t xml:space="preserve"> cultural differences.  </w:t>
            </w:r>
          </w:p>
          <w:p w14:paraId="59A93821" w14:textId="4EE48071" w:rsidR="00EB0080" w:rsidRPr="00E72BA1" w:rsidRDefault="00EB0080" w:rsidP="00A556CF">
            <w:pPr>
              <w:pStyle w:val="ListParagraph"/>
              <w:numPr>
                <w:ilvl w:val="0"/>
                <w:numId w:val="18"/>
              </w:numPr>
              <w:shd w:val="clear" w:color="auto" w:fill="FFFFFF"/>
              <w:ind w:left="436"/>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A556CF">
            <w:pPr>
              <w:ind w:left="436"/>
              <w:textAlignment w:val="baseline"/>
              <w:rPr>
                <w:rFonts w:eastAsia="Times New Roman"/>
                <w:b/>
                <w:bCs/>
                <w:smallCaps/>
              </w:rPr>
            </w:pPr>
          </w:p>
          <w:p w14:paraId="57D40D76" w14:textId="77777777" w:rsidR="00A556CF" w:rsidRPr="00C40696" w:rsidRDefault="00A556CF" w:rsidP="00A556CF">
            <w:pPr>
              <w:pStyle w:val="ListParagraph"/>
              <w:numPr>
                <w:ilvl w:val="0"/>
                <w:numId w:val="18"/>
              </w:numPr>
              <w:autoSpaceDE w:val="0"/>
              <w:autoSpaceDN w:val="0"/>
              <w:adjustRightInd w:val="0"/>
              <w:spacing w:after="0" w:line="240" w:lineRule="auto"/>
              <w:ind w:left="436"/>
              <w:rPr>
                <w:rFonts w:cstheme="minorHAnsi"/>
              </w:rPr>
            </w:pPr>
            <w:r>
              <w:t xml:space="preserve">Bachelor’s degree with a minimum of five years relevant experience or equivalent combination of education and experience. </w:t>
            </w:r>
          </w:p>
          <w:p w14:paraId="7D1558B5" w14:textId="77777777" w:rsidR="00A556CF" w:rsidRPr="00C40696" w:rsidRDefault="00A556CF" w:rsidP="00A556CF">
            <w:pPr>
              <w:pStyle w:val="ListParagraph"/>
              <w:numPr>
                <w:ilvl w:val="0"/>
                <w:numId w:val="18"/>
              </w:numPr>
              <w:autoSpaceDE w:val="0"/>
              <w:autoSpaceDN w:val="0"/>
              <w:adjustRightInd w:val="0"/>
              <w:spacing w:after="0" w:line="240" w:lineRule="auto"/>
              <w:ind w:left="436"/>
              <w:rPr>
                <w:rFonts w:cstheme="minorHAnsi"/>
              </w:rPr>
            </w:pPr>
            <w:r>
              <w:t xml:space="preserve">Experience leading and developing engaged teams including coaching and </w:t>
            </w:r>
            <w:proofErr w:type="gramStart"/>
            <w:r>
              <w:t>mentoring</w:t>
            </w:r>
            <w:proofErr w:type="gramEnd"/>
            <w:r>
              <w:rPr>
                <w:color w:val="000000"/>
              </w:rPr>
              <w:t xml:space="preserve"> </w:t>
            </w:r>
          </w:p>
          <w:p w14:paraId="36F906B9" w14:textId="77777777" w:rsidR="00A556CF" w:rsidRPr="00C40696" w:rsidRDefault="00A556CF" w:rsidP="00A556CF">
            <w:pPr>
              <w:pStyle w:val="ListParagraph"/>
              <w:numPr>
                <w:ilvl w:val="0"/>
                <w:numId w:val="18"/>
              </w:numPr>
              <w:autoSpaceDE w:val="0"/>
              <w:autoSpaceDN w:val="0"/>
              <w:adjustRightInd w:val="0"/>
              <w:spacing w:after="0" w:line="240" w:lineRule="auto"/>
              <w:ind w:left="436"/>
              <w:rPr>
                <w:rFonts w:cstheme="minorHAnsi"/>
              </w:rPr>
            </w:pPr>
            <w:r>
              <w:t xml:space="preserve">Demonstrated experience managing operational and interpersonal </w:t>
            </w:r>
            <w:proofErr w:type="gramStart"/>
            <w:r>
              <w:t>issues</w:t>
            </w:r>
            <w:proofErr w:type="gramEnd"/>
            <w:r>
              <w:rPr>
                <w:color w:val="000000"/>
              </w:rPr>
              <w:t xml:space="preserve"> </w:t>
            </w:r>
          </w:p>
          <w:p w14:paraId="0A83C180" w14:textId="77777777" w:rsidR="00A556CF" w:rsidRPr="00C40696" w:rsidRDefault="00A556CF" w:rsidP="00A556CF">
            <w:pPr>
              <w:pStyle w:val="ListParagraph"/>
              <w:numPr>
                <w:ilvl w:val="0"/>
                <w:numId w:val="18"/>
              </w:numPr>
              <w:autoSpaceDE w:val="0"/>
              <w:autoSpaceDN w:val="0"/>
              <w:adjustRightInd w:val="0"/>
              <w:spacing w:after="0" w:line="240" w:lineRule="auto"/>
              <w:ind w:left="436"/>
              <w:rPr>
                <w:rFonts w:cstheme="minorHAnsi"/>
              </w:rPr>
            </w:pPr>
            <w:r>
              <w:t>Extraordinary leadership and people skills are required in keeping the business needs of the operation in balance with the element of compassion in leading a large group of employees.</w:t>
            </w:r>
            <w:r w:rsidRPr="00546AED">
              <w:t xml:space="preserve"> </w:t>
            </w:r>
          </w:p>
          <w:p w14:paraId="7BA2FA40" w14:textId="77777777" w:rsidR="00A556CF" w:rsidRPr="00C40696" w:rsidRDefault="00A556CF" w:rsidP="00A556CF">
            <w:pPr>
              <w:pStyle w:val="ListParagraph"/>
              <w:numPr>
                <w:ilvl w:val="0"/>
                <w:numId w:val="18"/>
              </w:numPr>
              <w:autoSpaceDE w:val="0"/>
              <w:autoSpaceDN w:val="0"/>
              <w:adjustRightInd w:val="0"/>
              <w:spacing w:after="0" w:line="240" w:lineRule="auto"/>
              <w:ind w:left="436"/>
              <w:rPr>
                <w:rFonts w:cstheme="minorHAnsi"/>
              </w:rPr>
            </w:pPr>
            <w:r>
              <w:t xml:space="preserve">Superior conflict resolution skills are </w:t>
            </w:r>
            <w:proofErr w:type="gramStart"/>
            <w:r>
              <w:t>required</w:t>
            </w:r>
            <w:proofErr w:type="gramEnd"/>
          </w:p>
          <w:p w14:paraId="366776A4" w14:textId="77777777" w:rsidR="00A556CF" w:rsidRPr="00487439" w:rsidRDefault="00A556CF" w:rsidP="00A556CF">
            <w:pPr>
              <w:pStyle w:val="ListParagraph"/>
              <w:numPr>
                <w:ilvl w:val="0"/>
                <w:numId w:val="18"/>
              </w:numPr>
              <w:autoSpaceDE w:val="0"/>
              <w:autoSpaceDN w:val="0"/>
              <w:adjustRightInd w:val="0"/>
              <w:spacing w:after="0" w:line="240" w:lineRule="auto"/>
              <w:ind w:left="436"/>
              <w:rPr>
                <w:rFonts w:cstheme="minorHAnsi"/>
              </w:rPr>
            </w:pPr>
            <w:r>
              <w:t>The ability to manage multiple projects and issues under pressure, with changing priorities, while utilizing a variety of resources is essential.</w:t>
            </w:r>
          </w:p>
          <w:p w14:paraId="3A3F4220" w14:textId="77777777" w:rsidR="00A556CF" w:rsidRDefault="00A556CF" w:rsidP="00A556CF">
            <w:pPr>
              <w:pStyle w:val="ListParagraph"/>
              <w:numPr>
                <w:ilvl w:val="0"/>
                <w:numId w:val="18"/>
              </w:numPr>
              <w:spacing w:after="0"/>
              <w:ind w:left="436"/>
              <w:rPr>
                <w:rFonts w:cstheme="minorHAnsi"/>
              </w:rPr>
            </w:pPr>
            <w:r>
              <w:rPr>
                <w:color w:val="000000"/>
              </w:rPr>
              <w:t xml:space="preserve">Strong interpersonal, organizational &amp; communication skills (both written &amp; verbal).  Ability to work under pressure managing multiple </w:t>
            </w:r>
            <w:proofErr w:type="gramStart"/>
            <w:r>
              <w:rPr>
                <w:color w:val="000000"/>
              </w:rPr>
              <w:t>priorities</w:t>
            </w:r>
            <w:proofErr w:type="gramEnd"/>
            <w:r w:rsidRPr="004E4B8A">
              <w:rPr>
                <w:rFonts w:cstheme="minorHAnsi"/>
              </w:rPr>
              <w:t xml:space="preserve"> </w:t>
            </w:r>
          </w:p>
          <w:p w14:paraId="27D8A995" w14:textId="77777777" w:rsidR="00A556CF" w:rsidRPr="00487439" w:rsidRDefault="00A556CF" w:rsidP="00A556CF">
            <w:pPr>
              <w:pStyle w:val="ListParagraph"/>
              <w:numPr>
                <w:ilvl w:val="0"/>
                <w:numId w:val="18"/>
              </w:numPr>
              <w:spacing w:after="0"/>
              <w:ind w:left="436"/>
              <w:rPr>
                <w:rFonts w:cstheme="minorHAnsi"/>
              </w:rPr>
            </w:pPr>
            <w:r>
              <w:rPr>
                <w:color w:val="000000"/>
              </w:rPr>
              <w:t xml:space="preserve">Must be able to navigate building throughout the day and able to negotiate stairs, ladders and spaces of varying dimensions </w:t>
            </w:r>
            <w:proofErr w:type="gramStart"/>
            <w:r>
              <w:rPr>
                <w:color w:val="000000"/>
              </w:rPr>
              <w:t>lifting up</w:t>
            </w:r>
            <w:proofErr w:type="gramEnd"/>
            <w:r>
              <w:rPr>
                <w:color w:val="000000"/>
              </w:rPr>
              <w:t xml:space="preserve"> to 50lbs. lbs. </w:t>
            </w:r>
          </w:p>
          <w:p w14:paraId="3DEE7872" w14:textId="77777777" w:rsidR="00A556CF" w:rsidRDefault="00A556CF" w:rsidP="00A556CF">
            <w:pPr>
              <w:pStyle w:val="ListParagraph"/>
              <w:numPr>
                <w:ilvl w:val="0"/>
                <w:numId w:val="18"/>
              </w:numPr>
              <w:spacing w:after="0"/>
              <w:ind w:left="436"/>
              <w:rPr>
                <w:rFonts w:cstheme="minorHAnsi"/>
              </w:rPr>
            </w:pPr>
            <w:r>
              <w:rPr>
                <w:color w:val="000000"/>
              </w:rPr>
              <w:t xml:space="preserve">Must possess and maintain valid driver </w:t>
            </w:r>
            <w:proofErr w:type="gramStart"/>
            <w:r>
              <w:rPr>
                <w:color w:val="000000"/>
              </w:rPr>
              <w:t>license</w:t>
            </w:r>
            <w:proofErr w:type="gramEnd"/>
          </w:p>
          <w:p w14:paraId="008F738D" w14:textId="77777777" w:rsidR="00A556CF" w:rsidRDefault="00A556CF" w:rsidP="00A556CF">
            <w:pPr>
              <w:pStyle w:val="ListParagraph"/>
              <w:numPr>
                <w:ilvl w:val="0"/>
                <w:numId w:val="18"/>
              </w:numPr>
              <w:spacing w:after="0"/>
              <w:ind w:left="436"/>
              <w:rPr>
                <w:rFonts w:cstheme="minorHAnsi"/>
              </w:rPr>
            </w:pPr>
            <w:r w:rsidRPr="004E4B8A">
              <w:rPr>
                <w:rFonts w:cstheme="minorHAnsi"/>
              </w:rPr>
              <w:t xml:space="preserve">Must successfully complete a background </w:t>
            </w:r>
            <w:proofErr w:type="gramStart"/>
            <w:r w:rsidRPr="004E4B8A">
              <w:rPr>
                <w:rFonts w:cstheme="minorHAnsi"/>
              </w:rPr>
              <w:t>check</w:t>
            </w:r>
            <w:proofErr w:type="gramEnd"/>
          </w:p>
          <w:p w14:paraId="7B54888E" w14:textId="239D9ACB" w:rsidR="008C6A61" w:rsidRPr="00A556CF" w:rsidRDefault="00A556CF" w:rsidP="00A556CF">
            <w:pPr>
              <w:pStyle w:val="ListParagraph"/>
              <w:numPr>
                <w:ilvl w:val="0"/>
                <w:numId w:val="18"/>
              </w:numPr>
              <w:spacing w:after="0"/>
              <w:ind w:left="436"/>
              <w:textAlignment w:val="baseline"/>
              <w:rPr>
                <w:bCs/>
                <w:smallCaps/>
              </w:rPr>
            </w:pPr>
            <w:r w:rsidRPr="00A556CF">
              <w:rPr>
                <w:color w:val="000000"/>
              </w:rPr>
              <w:t>Must be able to work unusual hours in facilitating special events or projects and be able to respond to campus emergencies on 24-hr basis, including weekends, 7 days a week.</w:t>
            </w:r>
            <w:r w:rsidR="008C6A61" w:rsidRPr="00A556CF">
              <w:rPr>
                <w:rStyle w:val="normaltextrun"/>
                <w:shd w:val="clear" w:color="auto" w:fill="FFFFFF"/>
              </w:rPr>
              <w:t xml:space="preserve"> </w:t>
            </w:r>
          </w:p>
          <w:p w14:paraId="4AD16FFF" w14:textId="6F909A11" w:rsidR="008C6A61" w:rsidRPr="006356A8" w:rsidRDefault="008C6A61" w:rsidP="006356A8">
            <w:pPr>
              <w:ind w:left="-20"/>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A556CF">
        <w:trPr>
          <w:trHeight w:hRule="exact" w:val="86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4D7D8BE3" w14:textId="37461666" w:rsidR="00EB0080" w:rsidRPr="00E640F6" w:rsidRDefault="00A556CF" w:rsidP="00A556CF">
            <w:pPr>
              <w:pStyle w:val="cs182f6ed1"/>
              <w:numPr>
                <w:ilvl w:val="0"/>
                <w:numId w:val="24"/>
              </w:numPr>
              <w:spacing w:before="0" w:beforeAutospacing="0" w:after="0" w:afterAutospacing="0"/>
              <w:ind w:left="436"/>
            </w:pPr>
            <w:r w:rsidRPr="00C40696">
              <w:rPr>
                <w:rFonts w:asciiTheme="minorHAnsi" w:hAnsiTheme="minorHAnsi" w:cstheme="minorHAnsi"/>
              </w:rPr>
              <w:t>Current coursework in leadership development, human resource management, training and development, group dynamics or facilitation would be helpful.</w:t>
            </w: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8C6A61" w:rsidRPr="00917F6C" w14:paraId="22918B78" w14:textId="77777777" w:rsidTr="000F66BC">
        <w:trPr>
          <w:trHeight w:val="1142"/>
        </w:trPr>
        <w:tc>
          <w:tcPr>
            <w:tcW w:w="8820" w:type="dxa"/>
          </w:tcPr>
          <w:p w14:paraId="7EA660B9" w14:textId="77777777" w:rsidR="00A556CF" w:rsidRPr="00C40696" w:rsidRDefault="00A556CF" w:rsidP="00A556CF">
            <w:pPr>
              <w:rPr>
                <w:rFonts w:asciiTheme="minorHAnsi" w:hAnsiTheme="minorHAnsi" w:cstheme="minorHAnsi"/>
                <w:color w:val="4472C4" w:themeColor="accent1"/>
                <w:sz w:val="24"/>
                <w:szCs w:val="24"/>
              </w:rPr>
            </w:pPr>
            <w:r>
              <w:rPr>
                <w:b/>
                <w:bCs/>
              </w:rPr>
              <w:t>Provides regional management of custodial complexes.</w:t>
            </w:r>
            <w:r>
              <w:rPr>
                <w:sz w:val="20"/>
              </w:rPr>
              <w:t xml:space="preserve"> Provides guidance and supervision for six (6) </w:t>
            </w:r>
            <w:r w:rsidRPr="00C40696">
              <w:rPr>
                <w:szCs w:val="24"/>
              </w:rPr>
              <w:t xml:space="preserve">Custodial Managers on the Endowed and </w:t>
            </w:r>
            <w:smartTag w:uri="urn:schemas-microsoft-com:office:smarttags" w:element="place">
              <w:smartTag w:uri="urn:schemas-microsoft-com:office:smarttags" w:element="PlaceName">
                <w:r w:rsidRPr="00C40696">
                  <w:rPr>
                    <w:szCs w:val="24"/>
                  </w:rPr>
                  <w:t>Contract</w:t>
                </w:r>
              </w:smartTag>
              <w:r w:rsidRPr="00C40696">
                <w:rPr>
                  <w:szCs w:val="24"/>
                </w:rPr>
                <w:t xml:space="preserve"> </w:t>
              </w:r>
              <w:smartTag w:uri="urn:schemas-microsoft-com:office:smarttags" w:element="PlaceType">
                <w:r w:rsidRPr="00C40696">
                  <w:rPr>
                    <w:szCs w:val="24"/>
                  </w:rPr>
                  <w:t>College</w:t>
                </w:r>
              </w:smartTag>
            </w:smartTag>
            <w:r w:rsidRPr="00C40696">
              <w:rPr>
                <w:szCs w:val="24"/>
              </w:rPr>
              <w:t xml:space="preserve"> campuses. Works closely with the custodial managers in planning, </w:t>
            </w:r>
            <w:proofErr w:type="gramStart"/>
            <w:r w:rsidRPr="00C40696">
              <w:rPr>
                <w:szCs w:val="24"/>
              </w:rPr>
              <w:t>evaluating</w:t>
            </w:r>
            <w:proofErr w:type="gramEnd"/>
            <w:r w:rsidRPr="00C40696">
              <w:rPr>
                <w:szCs w:val="24"/>
              </w:rPr>
              <w:t xml:space="preserve"> and facilitating operations for the six complexes. Provides counsel and coaching to the managers and their teams of custodial staff regarding a myriad of service operational matters. Assists the manager </w:t>
            </w:r>
            <w:proofErr w:type="gramStart"/>
            <w:r w:rsidRPr="00C40696">
              <w:rPr>
                <w:szCs w:val="24"/>
              </w:rPr>
              <w:t>with regard to</w:t>
            </w:r>
            <w:proofErr w:type="gramEnd"/>
            <w:r w:rsidRPr="00C40696">
              <w:rPr>
                <w:szCs w:val="24"/>
              </w:rPr>
              <w:t xml:space="preserve"> all aspects of the human resource management element of the employees and their custodial complex teams. </w:t>
            </w:r>
          </w:p>
          <w:p w14:paraId="714F0016" w14:textId="0C46E4BD" w:rsidR="008C6A61" w:rsidRPr="00EB0080" w:rsidRDefault="008C6A61" w:rsidP="008C6A61">
            <w:pPr>
              <w:shd w:val="clear" w:color="auto" w:fill="FFFFFF"/>
              <w:ind w:left="360"/>
              <w:textAlignment w:val="baseline"/>
              <w:rPr>
                <w:rFonts w:eastAsia="Times New Roman"/>
              </w:rPr>
            </w:pPr>
          </w:p>
        </w:tc>
        <w:tc>
          <w:tcPr>
            <w:tcW w:w="1867" w:type="dxa"/>
          </w:tcPr>
          <w:p w14:paraId="7EC339E9" w14:textId="2A47F799" w:rsidR="008C6A61" w:rsidRPr="00A57C60" w:rsidRDefault="008C6A61" w:rsidP="008C6A61">
            <w:pPr>
              <w:jc w:val="center"/>
              <w:rPr>
                <w:sz w:val="20"/>
                <w:szCs w:val="20"/>
              </w:rPr>
            </w:pPr>
            <w:r>
              <w:rPr>
                <w:sz w:val="20"/>
                <w:szCs w:val="20"/>
              </w:rPr>
              <w:t>%</w:t>
            </w:r>
          </w:p>
        </w:tc>
      </w:tr>
      <w:tr w:rsidR="008C6A61" w:rsidRPr="00917F6C" w14:paraId="58C20C9E" w14:textId="77777777" w:rsidTr="000F66BC">
        <w:trPr>
          <w:trHeight w:val="989"/>
        </w:trPr>
        <w:tc>
          <w:tcPr>
            <w:tcW w:w="8820" w:type="dxa"/>
          </w:tcPr>
          <w:p w14:paraId="72720728" w14:textId="77777777" w:rsidR="00A556CF" w:rsidRDefault="00A556CF" w:rsidP="00A556CF">
            <w:pPr>
              <w:rPr>
                <w:sz w:val="20"/>
              </w:rPr>
            </w:pPr>
            <w:r>
              <w:rPr>
                <w:b/>
                <w:bCs/>
              </w:rPr>
              <w:t>Staffing of Operations.</w:t>
            </w:r>
            <w:r>
              <w:rPr>
                <w:sz w:val="20"/>
              </w:rPr>
              <w:t xml:space="preserve"> </w:t>
            </w:r>
            <w:r w:rsidRPr="00C40696">
              <w:rPr>
                <w:szCs w:val="24"/>
              </w:rPr>
              <w:t xml:space="preserve">Ensures that the proper staffing levels are maintained for all complexes. Interfaces closely with the Associate Director in this regard. This involves the anticipation of custodial position vacancies as well as folks returning to work </w:t>
            </w:r>
            <w:proofErr w:type="gramStart"/>
            <w:r w:rsidRPr="00C40696">
              <w:rPr>
                <w:szCs w:val="24"/>
              </w:rPr>
              <w:t>from</w:t>
            </w:r>
            <w:proofErr w:type="gramEnd"/>
            <w:r w:rsidRPr="00C40696">
              <w:rPr>
                <w:szCs w:val="24"/>
              </w:rPr>
              <w:t xml:space="preserve"> disability and workers’ compensation.  Provides guidance to the custodial managers in evaluating and expediting the acquisition of temporary staff.  Works with the central staff in </w:t>
            </w:r>
            <w:proofErr w:type="gramStart"/>
            <w:r w:rsidRPr="00C40696">
              <w:rPr>
                <w:szCs w:val="24"/>
              </w:rPr>
              <w:t>planning for</w:t>
            </w:r>
            <w:proofErr w:type="gramEnd"/>
            <w:r w:rsidRPr="00C40696">
              <w:rPr>
                <w:szCs w:val="24"/>
              </w:rPr>
              <w:t xml:space="preserve"> comprehensive staffing needs throughout the complexes. Provides guidance during interviewing process for all levels of custodial positions.  Partners with central office in conducting management recruitment and searches processes. Maintains staffing statistics for each complex and provides periodic summaries to the director for administrative reporting purposes.</w:t>
            </w:r>
          </w:p>
          <w:p w14:paraId="1E6CBDC1" w14:textId="77777777" w:rsidR="008C6A61" w:rsidRPr="00A6751B" w:rsidRDefault="008C6A61" w:rsidP="008C6A61">
            <w:pPr>
              <w:shd w:val="clear" w:color="auto" w:fill="FFFFFF"/>
              <w:ind w:left="360"/>
              <w:textAlignment w:val="baseline"/>
              <w:rPr>
                <w:rFonts w:eastAsia="Times New Roman"/>
              </w:rPr>
            </w:pPr>
          </w:p>
        </w:tc>
        <w:tc>
          <w:tcPr>
            <w:tcW w:w="1867" w:type="dxa"/>
          </w:tcPr>
          <w:p w14:paraId="4CB86330" w14:textId="66297E7E" w:rsidR="008C6A61" w:rsidRDefault="008C6A61" w:rsidP="008C6A61">
            <w:pPr>
              <w:jc w:val="center"/>
              <w:rPr>
                <w:sz w:val="20"/>
                <w:szCs w:val="20"/>
              </w:rPr>
            </w:pPr>
            <w:r>
              <w:rPr>
                <w:sz w:val="20"/>
                <w:szCs w:val="20"/>
              </w:rPr>
              <w:t>%</w:t>
            </w:r>
          </w:p>
        </w:tc>
      </w:tr>
      <w:tr w:rsidR="00A556CF" w:rsidRPr="00917F6C" w14:paraId="0A05D2E9" w14:textId="77777777" w:rsidTr="000F66BC">
        <w:trPr>
          <w:trHeight w:val="989"/>
        </w:trPr>
        <w:tc>
          <w:tcPr>
            <w:tcW w:w="8820" w:type="dxa"/>
          </w:tcPr>
          <w:p w14:paraId="2F8E26C3" w14:textId="77777777" w:rsidR="00A556CF" w:rsidRDefault="00A556CF" w:rsidP="00A556CF">
            <w:pPr>
              <w:rPr>
                <w:sz w:val="20"/>
              </w:rPr>
            </w:pPr>
            <w:r>
              <w:rPr>
                <w:b/>
                <w:bCs/>
              </w:rPr>
              <w:t xml:space="preserve">Education and Training.  </w:t>
            </w:r>
            <w:r w:rsidRPr="00C40696">
              <w:rPr>
                <w:szCs w:val="24"/>
              </w:rPr>
              <w:t>Directs the comprehensive education and training operations for the complexes. Ensures that all staff receive required training including new employee orientation, health &amp; safety training annually, special project and equipment training, and remedial training as necessary. Ensures that all product and equipment safety procedures and protocol are followed consistently among the complexes.  Conducts and coordinates specialized training regarding accident prevention, as well as remedial training for employees who have sustained a work-related injury. Interfaces with medical offices and staff in following up on workers’ compensation cases to ensure that protocol is followed prior to employees returning to work. Interfaces with central office staff in this regard.</w:t>
            </w:r>
          </w:p>
          <w:p w14:paraId="18375D83" w14:textId="77777777" w:rsidR="00A556CF" w:rsidRPr="00A6751B" w:rsidRDefault="00A556CF" w:rsidP="008C6A61">
            <w:pPr>
              <w:shd w:val="clear" w:color="auto" w:fill="FFFFFF"/>
              <w:ind w:left="360"/>
              <w:textAlignment w:val="baseline"/>
              <w:rPr>
                <w:rFonts w:eastAsia="Times New Roman"/>
              </w:rPr>
            </w:pPr>
          </w:p>
        </w:tc>
        <w:tc>
          <w:tcPr>
            <w:tcW w:w="1867" w:type="dxa"/>
          </w:tcPr>
          <w:p w14:paraId="1F0B27E2" w14:textId="10EECC8B" w:rsidR="00A556CF" w:rsidRDefault="00A556CF" w:rsidP="008C6A61">
            <w:pPr>
              <w:jc w:val="center"/>
              <w:rPr>
                <w:sz w:val="20"/>
                <w:szCs w:val="20"/>
              </w:rPr>
            </w:pPr>
            <w:r>
              <w:rPr>
                <w:sz w:val="20"/>
                <w:szCs w:val="20"/>
              </w:rPr>
              <w:t>%</w:t>
            </w:r>
          </w:p>
        </w:tc>
      </w:tr>
      <w:tr w:rsidR="00A556CF" w:rsidRPr="00917F6C" w14:paraId="386EE6EA" w14:textId="77777777" w:rsidTr="000F66BC">
        <w:trPr>
          <w:trHeight w:val="989"/>
        </w:trPr>
        <w:tc>
          <w:tcPr>
            <w:tcW w:w="8820" w:type="dxa"/>
          </w:tcPr>
          <w:p w14:paraId="0F6DB51F" w14:textId="77777777" w:rsidR="00A556CF" w:rsidRPr="00C40696" w:rsidRDefault="00A556CF" w:rsidP="00A556CF">
            <w:pPr>
              <w:rPr>
                <w:szCs w:val="24"/>
              </w:rPr>
            </w:pPr>
            <w:r>
              <w:rPr>
                <w:b/>
                <w:bCs/>
              </w:rPr>
              <w:t>Quality Assurance Management and Customer Interface</w:t>
            </w:r>
            <w:r>
              <w:rPr>
                <w:b/>
                <w:bCs/>
                <w:sz w:val="20"/>
              </w:rPr>
              <w:t>.</w:t>
            </w:r>
            <w:r>
              <w:rPr>
                <w:sz w:val="20"/>
              </w:rPr>
              <w:t xml:space="preserve">  </w:t>
            </w:r>
            <w:r w:rsidRPr="00C40696">
              <w:rPr>
                <w:szCs w:val="24"/>
              </w:rPr>
              <w:t xml:space="preserve">Is responsible for the comprehensive Management of quality assurance for the assigned complexes and a “total customer service” focus by all managers and staff.  Ensures that Quality Assurance Inspections are conducted by all staff at required intervals and all measurement data is completed. Interfaces with Department’s Quality Assurance Manager in the regard.  Provides guidance to the custodial managers to ensure consistency among complexes </w:t>
            </w:r>
            <w:proofErr w:type="gramStart"/>
            <w:r w:rsidRPr="00C40696">
              <w:rPr>
                <w:szCs w:val="24"/>
              </w:rPr>
              <w:t>with regard to</w:t>
            </w:r>
            <w:proofErr w:type="gramEnd"/>
            <w:r w:rsidRPr="00C40696">
              <w:rPr>
                <w:szCs w:val="24"/>
              </w:rPr>
              <w:t xml:space="preserve"> services provided and protocol followed. Interfaces with building coordinators and other college administrators in support of managers and the Department operations, ensuring the provision of quality services for the Cornell campus.</w:t>
            </w:r>
          </w:p>
          <w:p w14:paraId="1C78E4E7" w14:textId="77777777" w:rsidR="00A556CF" w:rsidRPr="00A6751B" w:rsidRDefault="00A556CF" w:rsidP="008C6A61">
            <w:pPr>
              <w:shd w:val="clear" w:color="auto" w:fill="FFFFFF"/>
              <w:ind w:left="360"/>
              <w:textAlignment w:val="baseline"/>
              <w:rPr>
                <w:rFonts w:eastAsia="Times New Roman"/>
              </w:rPr>
            </w:pPr>
          </w:p>
        </w:tc>
        <w:tc>
          <w:tcPr>
            <w:tcW w:w="1867" w:type="dxa"/>
          </w:tcPr>
          <w:p w14:paraId="64F2247E" w14:textId="52909D49" w:rsidR="00A556CF" w:rsidRDefault="00A556CF" w:rsidP="008C6A61">
            <w:pPr>
              <w:jc w:val="center"/>
              <w:rPr>
                <w:sz w:val="20"/>
                <w:szCs w:val="20"/>
              </w:rPr>
            </w:pPr>
            <w:r>
              <w:rPr>
                <w:sz w:val="20"/>
                <w:szCs w:val="20"/>
              </w:rPr>
              <w:t>%</w:t>
            </w:r>
          </w:p>
        </w:tc>
      </w:tr>
      <w:tr w:rsidR="00A556CF" w:rsidRPr="00917F6C" w14:paraId="779FE5B1" w14:textId="77777777" w:rsidTr="000F66BC">
        <w:trPr>
          <w:trHeight w:val="989"/>
        </w:trPr>
        <w:tc>
          <w:tcPr>
            <w:tcW w:w="8820" w:type="dxa"/>
          </w:tcPr>
          <w:p w14:paraId="6AC3BA0C" w14:textId="77777777" w:rsidR="00A556CF" w:rsidRDefault="00A556CF" w:rsidP="00A556CF">
            <w:pPr>
              <w:rPr>
                <w:sz w:val="20"/>
              </w:rPr>
            </w:pPr>
            <w:r>
              <w:rPr>
                <w:b/>
                <w:bCs/>
              </w:rPr>
              <w:t>Staff Development Program Management.</w:t>
            </w:r>
            <w:r>
              <w:t xml:space="preserve"> </w:t>
            </w:r>
            <w:r w:rsidRPr="00C40696">
              <w:rPr>
                <w:szCs w:val="24"/>
              </w:rPr>
              <w:t xml:space="preserve">Responsible for developing and maintaining the SDP process within all complexes and for all staff.  Supports and </w:t>
            </w:r>
            <w:proofErr w:type="gramStart"/>
            <w:r w:rsidRPr="00C40696">
              <w:rPr>
                <w:szCs w:val="24"/>
              </w:rPr>
              <w:t>coaches</w:t>
            </w:r>
            <w:proofErr w:type="gramEnd"/>
            <w:r w:rsidRPr="00C40696">
              <w:rPr>
                <w:szCs w:val="24"/>
              </w:rPr>
              <w:t xml:space="preserve"> managers in regard to all aspects of this process including probationary reviews, performance management (appraisals), personal dialogues, and individual development plans. Assists with developing special training and educational planning for individual employees in support of the STP process and the Department’s overall mission.</w:t>
            </w:r>
          </w:p>
          <w:p w14:paraId="71C542B0" w14:textId="77777777" w:rsidR="00A556CF" w:rsidRDefault="00A556CF" w:rsidP="00A556CF">
            <w:pPr>
              <w:rPr>
                <w:rFonts w:eastAsia="Times New Roman"/>
                <w:i/>
                <w:iCs/>
                <w:color w:val="FF0000"/>
                <w:shd w:val="clear" w:color="auto" w:fill="FFFFFF"/>
              </w:rPr>
            </w:pPr>
          </w:p>
          <w:p w14:paraId="22D2870E" w14:textId="77777777" w:rsidR="00A556CF" w:rsidRPr="00C40696" w:rsidRDefault="00A556CF" w:rsidP="00A556CF">
            <w:pPr>
              <w:rPr>
                <w:szCs w:val="24"/>
              </w:rPr>
            </w:pPr>
            <w:r>
              <w:rPr>
                <w:b/>
                <w:bCs/>
                <w:noProof/>
                <w:sz w:val="20"/>
              </w:rPr>
              <w:lastRenderedPageBreak/>
              <mc:AlternateContent>
                <mc:Choice Requires="wps">
                  <w:drawing>
                    <wp:anchor distT="0" distB="0" distL="114300" distR="114300" simplePos="0" relativeHeight="251661312" behindDoc="0" locked="0" layoutInCell="1" allowOverlap="1" wp14:anchorId="0193EB59" wp14:editId="22B85ED8">
                      <wp:simplePos x="0" y="0"/>
                      <wp:positionH relativeFrom="column">
                        <wp:posOffset>-47625</wp:posOffset>
                      </wp:positionH>
                      <wp:positionV relativeFrom="paragraph">
                        <wp:posOffset>-9525</wp:posOffset>
                      </wp:positionV>
                      <wp:extent cx="59245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4B6B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5pt" to="46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2+sAEAAEgDAAAOAAAAZHJzL2Uyb0RvYy54bWysU8Fu2zAMvQ/YPwi6L06CZV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"/>
                  </w:pict>
                </mc:Fallback>
              </mc:AlternateContent>
            </w:r>
            <w:r>
              <w:rPr>
                <w:b/>
                <w:bCs/>
              </w:rPr>
              <w:t xml:space="preserve">Employee and Labor Relations Management. </w:t>
            </w:r>
            <w:r w:rsidRPr="00C40696">
              <w:rPr>
                <w:szCs w:val="24"/>
              </w:rPr>
              <w:t xml:space="preserve">Ensures that employee </w:t>
            </w:r>
            <w:proofErr w:type="gramStart"/>
            <w:r w:rsidRPr="00C40696">
              <w:rPr>
                <w:szCs w:val="24"/>
              </w:rPr>
              <w:t>relation’s</w:t>
            </w:r>
            <w:proofErr w:type="gramEnd"/>
            <w:r w:rsidRPr="00C40696">
              <w:rPr>
                <w:szCs w:val="24"/>
              </w:rPr>
              <w:t xml:space="preserve"> matters within the complexes are administered to in a responsible, effective manner, and are brought proper resolution.  Coaches and assists managers with constructive feedback and disciplinary processes for employees. In a labor context, ensures that the UAW Contract language is followed by all managers. Assists managers with </w:t>
            </w:r>
            <w:proofErr w:type="gramStart"/>
            <w:r w:rsidRPr="00C40696">
              <w:rPr>
                <w:szCs w:val="24"/>
              </w:rPr>
              <w:t>administering to</w:t>
            </w:r>
            <w:proofErr w:type="gramEnd"/>
            <w:r w:rsidRPr="00C40696">
              <w:rPr>
                <w:szCs w:val="24"/>
              </w:rPr>
              <w:t xml:space="preserve"> grievances. Interfaces with Labor Relations’ office and union officials as appropriate.  </w:t>
            </w:r>
          </w:p>
          <w:p w14:paraId="3CEF9C59" w14:textId="77777777" w:rsidR="00A556CF" w:rsidRDefault="00A556CF" w:rsidP="00A556CF">
            <w:pPr>
              <w:rPr>
                <w:b/>
                <w:bCs/>
              </w:rPr>
            </w:pPr>
          </w:p>
        </w:tc>
        <w:tc>
          <w:tcPr>
            <w:tcW w:w="1867" w:type="dxa"/>
          </w:tcPr>
          <w:p w14:paraId="4F4DD2E1" w14:textId="16F866E8" w:rsidR="00A556CF" w:rsidRDefault="00A556CF" w:rsidP="00A556CF">
            <w:pPr>
              <w:jc w:val="center"/>
              <w:rPr>
                <w:sz w:val="20"/>
                <w:szCs w:val="20"/>
              </w:rPr>
            </w:pPr>
            <w:r>
              <w:rPr>
                <w:sz w:val="20"/>
                <w:szCs w:val="20"/>
              </w:rPr>
              <w:lastRenderedPageBreak/>
              <w:t>%</w:t>
            </w:r>
          </w:p>
        </w:tc>
      </w:tr>
      <w:tr w:rsidR="00A556CF" w:rsidRPr="00917F6C" w14:paraId="3A6EABED" w14:textId="77777777" w:rsidTr="000F66BC">
        <w:trPr>
          <w:trHeight w:val="989"/>
        </w:trPr>
        <w:tc>
          <w:tcPr>
            <w:tcW w:w="8820" w:type="dxa"/>
          </w:tcPr>
          <w:p w14:paraId="03D56B03" w14:textId="77777777" w:rsidR="00A556CF" w:rsidRPr="00C40696" w:rsidRDefault="00A556CF" w:rsidP="00A556CF">
            <w:pPr>
              <w:rPr>
                <w:szCs w:val="24"/>
              </w:rPr>
            </w:pPr>
            <w:r>
              <w:rPr>
                <w:b/>
                <w:bCs/>
              </w:rPr>
              <w:t>Management of Health and Safety Concerns.</w:t>
            </w:r>
            <w:r>
              <w:t xml:space="preserve"> </w:t>
            </w:r>
            <w:r w:rsidRPr="00C40696">
              <w:rPr>
                <w:szCs w:val="24"/>
              </w:rPr>
              <w:t xml:space="preserve">Ensures that all complexes </w:t>
            </w:r>
            <w:proofErr w:type="gramStart"/>
            <w:r w:rsidRPr="00C40696">
              <w:rPr>
                <w:szCs w:val="24"/>
              </w:rPr>
              <w:t>operate in a safe manner at all times</w:t>
            </w:r>
            <w:proofErr w:type="gramEnd"/>
            <w:r w:rsidRPr="00C40696">
              <w:rPr>
                <w:szCs w:val="24"/>
              </w:rPr>
              <w:t xml:space="preserve">. Interfaces with the Office of Environmental Health and Safety as a liaison for the Department of Building Care. Responds to work related accidents &amp; campus emergencies, partnering with the manager to ensure that all protocols are followed. Assists with the management of bodily fluid clean-up and the handling of other hazards (broken glass, syringes, toxic chemicals, etc.). Conducts inspections with managers and head custodians to ensure compliance with all health and safety policies procedures throughout the complexes. Conducts team building with staff around safety issues, creating an environment of cooperation and proactive attention to any related issues. Performs Department record keeping </w:t>
            </w:r>
            <w:proofErr w:type="gramStart"/>
            <w:r w:rsidRPr="00C40696">
              <w:rPr>
                <w:szCs w:val="24"/>
              </w:rPr>
              <w:t>with regard to</w:t>
            </w:r>
            <w:proofErr w:type="gramEnd"/>
            <w:r w:rsidRPr="00C40696">
              <w:rPr>
                <w:szCs w:val="24"/>
              </w:rPr>
              <w:t xml:space="preserve"> compliance issues.</w:t>
            </w:r>
          </w:p>
          <w:p w14:paraId="3B6640B3" w14:textId="77777777" w:rsidR="00A556CF" w:rsidRDefault="00A556CF" w:rsidP="00A556CF">
            <w:pPr>
              <w:rPr>
                <w:b/>
                <w:bCs/>
              </w:rPr>
            </w:pPr>
          </w:p>
        </w:tc>
        <w:tc>
          <w:tcPr>
            <w:tcW w:w="1867" w:type="dxa"/>
          </w:tcPr>
          <w:p w14:paraId="5CCCDE07" w14:textId="3691EB30" w:rsidR="00A556CF" w:rsidRDefault="00A556CF" w:rsidP="00A556CF">
            <w:pPr>
              <w:jc w:val="center"/>
              <w:rPr>
                <w:sz w:val="20"/>
                <w:szCs w:val="20"/>
              </w:rPr>
            </w:pPr>
            <w:r>
              <w:rPr>
                <w:sz w:val="20"/>
                <w:szCs w:val="20"/>
              </w:rPr>
              <w:t>%%</w:t>
            </w:r>
          </w:p>
        </w:tc>
      </w:tr>
      <w:tr w:rsidR="00A556CF" w:rsidRPr="00917F6C" w14:paraId="5341DBAB" w14:textId="77777777" w:rsidTr="000F66BC">
        <w:trPr>
          <w:trHeight w:val="1061"/>
        </w:trPr>
        <w:tc>
          <w:tcPr>
            <w:tcW w:w="8820" w:type="dxa"/>
          </w:tcPr>
          <w:p w14:paraId="467694C9" w14:textId="77777777" w:rsidR="00A556CF" w:rsidRPr="00C40696" w:rsidRDefault="00A556CF" w:rsidP="00A556CF">
            <w:pPr>
              <w:rPr>
                <w:sz w:val="24"/>
                <w:szCs w:val="24"/>
              </w:rPr>
            </w:pPr>
            <w:r>
              <w:rPr>
                <w:b/>
                <w:bCs/>
              </w:rPr>
              <w:t xml:space="preserve">Business and Financial Management. </w:t>
            </w:r>
            <w:r w:rsidRPr="00C40696">
              <w:rPr>
                <w:szCs w:val="24"/>
              </w:rPr>
              <w:t xml:space="preserve">Interfaces closely with the Building Care director and business manager regarding budgetary matters involved Endowed and </w:t>
            </w:r>
            <w:smartTag w:uri="urn:schemas-microsoft-com:office:smarttags" w:element="place">
              <w:smartTag w:uri="urn:schemas-microsoft-com:office:smarttags" w:element="PlaceName">
                <w:r w:rsidRPr="00C40696">
                  <w:rPr>
                    <w:szCs w:val="24"/>
                  </w:rPr>
                  <w:t>Contract</w:t>
                </w:r>
              </w:smartTag>
              <w:r w:rsidRPr="00C40696">
                <w:rPr>
                  <w:szCs w:val="24"/>
                </w:rPr>
                <w:t xml:space="preserve"> </w:t>
              </w:r>
              <w:smartTag w:uri="urn:schemas-microsoft-com:office:smarttags" w:element="PlaceType">
                <w:r w:rsidRPr="00C40696">
                  <w:rPr>
                    <w:szCs w:val="24"/>
                  </w:rPr>
                  <w:t>College</w:t>
                </w:r>
              </w:smartTag>
            </w:smartTag>
            <w:r w:rsidRPr="00C40696">
              <w:rPr>
                <w:szCs w:val="24"/>
              </w:rPr>
              <w:t xml:space="preserve"> operations.  Consults with the director regarding planning and budget development issues.  Provides periodic reports on staffing operations, and the reconciliation of all Department positions (line items). Works closely with complex managers regarding all resources needed for effective operation of the complexes. Projects needs </w:t>
            </w:r>
            <w:proofErr w:type="gramStart"/>
            <w:r w:rsidRPr="00C40696">
              <w:rPr>
                <w:szCs w:val="24"/>
              </w:rPr>
              <w:t>with regard to</w:t>
            </w:r>
            <w:proofErr w:type="gramEnd"/>
            <w:r w:rsidRPr="00C40696">
              <w:rPr>
                <w:szCs w:val="24"/>
              </w:rPr>
              <w:t xml:space="preserve"> products and equipment, and interfaces closely with central office staff in this regard.  Presents comprehensive staffing, </w:t>
            </w:r>
            <w:proofErr w:type="gramStart"/>
            <w:r w:rsidRPr="00C40696">
              <w:rPr>
                <w:szCs w:val="24"/>
              </w:rPr>
              <w:t>supply</w:t>
            </w:r>
            <w:proofErr w:type="gramEnd"/>
            <w:r w:rsidRPr="00C40696">
              <w:rPr>
                <w:szCs w:val="24"/>
              </w:rPr>
              <w:t xml:space="preserve"> and equipment budgetary needs to the director quarterly.</w:t>
            </w:r>
          </w:p>
          <w:p w14:paraId="64CD84B7" w14:textId="77777777" w:rsidR="00A556CF" w:rsidRDefault="00A556CF" w:rsidP="00A556CF">
            <w:pPr>
              <w:shd w:val="clear" w:color="auto" w:fill="FFFFFF"/>
              <w:textAlignment w:val="baseline"/>
              <w:rPr>
                <w:rFonts w:eastAsia="Times New Roman"/>
                <w:b/>
                <w:bCs/>
                <w:u w:val="single"/>
              </w:rPr>
            </w:pPr>
          </w:p>
        </w:tc>
        <w:tc>
          <w:tcPr>
            <w:tcW w:w="1867" w:type="dxa"/>
          </w:tcPr>
          <w:p w14:paraId="3B69572B" w14:textId="0B5A1C9F" w:rsidR="00A556CF" w:rsidRDefault="00A556CF" w:rsidP="00A556CF">
            <w:pPr>
              <w:jc w:val="center"/>
              <w:rPr>
                <w:sz w:val="20"/>
                <w:szCs w:val="20"/>
              </w:rPr>
            </w:pPr>
            <w:r>
              <w:rPr>
                <w:sz w:val="20"/>
                <w:szCs w:val="20"/>
              </w:rPr>
              <w:t>%</w:t>
            </w:r>
          </w:p>
        </w:tc>
      </w:tr>
      <w:tr w:rsidR="00A556CF" w:rsidRPr="00917F6C" w14:paraId="40DF5109" w14:textId="77777777" w:rsidTr="000F66BC">
        <w:trPr>
          <w:trHeight w:val="1061"/>
        </w:trPr>
        <w:tc>
          <w:tcPr>
            <w:tcW w:w="8820" w:type="dxa"/>
          </w:tcPr>
          <w:p w14:paraId="7641D587" w14:textId="2C29CC87" w:rsidR="00A556CF" w:rsidRDefault="00A556CF" w:rsidP="00A556CF">
            <w:pPr>
              <w:shd w:val="clear" w:color="auto" w:fill="FFFFFF"/>
              <w:textAlignment w:val="baseline"/>
              <w:rPr>
                <w:rFonts w:eastAsia="Times New Roman"/>
                <w:b/>
                <w:bCs/>
                <w:u w:val="single"/>
              </w:rPr>
            </w:pPr>
            <w:r>
              <w:rPr>
                <w:b/>
                <w:bCs/>
              </w:rPr>
              <w:t xml:space="preserve">Liaison with FS Units and Campus Departments. </w:t>
            </w:r>
            <w:r w:rsidRPr="00C40696">
              <w:rPr>
                <w:szCs w:val="24"/>
              </w:rPr>
              <w:t xml:space="preserve">Proactively interfaces campus-wide with other departments </w:t>
            </w:r>
            <w:proofErr w:type="gramStart"/>
            <w:r w:rsidRPr="00C40696">
              <w:rPr>
                <w:szCs w:val="24"/>
              </w:rPr>
              <w:t>in</w:t>
            </w:r>
            <w:proofErr w:type="gramEnd"/>
            <w:r w:rsidRPr="00C40696">
              <w:rPr>
                <w:szCs w:val="24"/>
              </w:rPr>
              <w:t xml:space="preserve"> behalf of Building Care business operations. Participates on committees in support of operations</w:t>
            </w:r>
            <w:r>
              <w:rPr>
                <w:szCs w:val="24"/>
              </w:rPr>
              <w:t>.</w:t>
            </w:r>
          </w:p>
        </w:tc>
        <w:tc>
          <w:tcPr>
            <w:tcW w:w="1867" w:type="dxa"/>
          </w:tcPr>
          <w:p w14:paraId="56A98850" w14:textId="1C29D196" w:rsidR="00A556CF" w:rsidRDefault="00A556CF" w:rsidP="00A556CF">
            <w:pPr>
              <w:jc w:val="center"/>
              <w:rPr>
                <w:sz w:val="20"/>
                <w:szCs w:val="20"/>
              </w:rPr>
            </w:pPr>
            <w:r>
              <w:rPr>
                <w:sz w:val="20"/>
                <w:szCs w:val="20"/>
              </w:rPr>
              <w:t>%</w:t>
            </w:r>
          </w:p>
        </w:tc>
      </w:tr>
      <w:tr w:rsidR="00A556CF" w:rsidRPr="00917F6C" w14:paraId="374B55B8" w14:textId="77777777" w:rsidTr="000F66BC">
        <w:trPr>
          <w:trHeight w:val="1061"/>
        </w:trPr>
        <w:tc>
          <w:tcPr>
            <w:tcW w:w="8820" w:type="dxa"/>
          </w:tcPr>
          <w:p w14:paraId="3C19CBD5" w14:textId="77777777" w:rsidR="00A556CF" w:rsidRDefault="00A556CF" w:rsidP="00A556CF">
            <w:pPr>
              <w:rPr>
                <w:szCs w:val="24"/>
              </w:rPr>
            </w:pPr>
            <w:r>
              <w:rPr>
                <w:b/>
                <w:bCs/>
              </w:rPr>
              <w:t>Special Projects and Emergency Management.</w:t>
            </w:r>
            <w:r>
              <w:rPr>
                <w:sz w:val="20"/>
              </w:rPr>
              <w:t xml:space="preserve"> </w:t>
            </w:r>
            <w:r w:rsidRPr="00C40696">
              <w:rPr>
                <w:szCs w:val="24"/>
              </w:rPr>
              <w:t xml:space="preserve">Directs management teams in responding to emergencies at the University including floods and fire clean-ups. Facilitates a large variety of </w:t>
            </w:r>
            <w:proofErr w:type="gramStart"/>
            <w:r w:rsidRPr="00C40696">
              <w:rPr>
                <w:szCs w:val="24"/>
              </w:rPr>
              <w:t>University</w:t>
            </w:r>
            <w:proofErr w:type="gramEnd"/>
            <w:r w:rsidRPr="00C40696">
              <w:rPr>
                <w:szCs w:val="24"/>
              </w:rPr>
              <w:t xml:space="preserve"> special projects. Ensure the facilitation of snow removal and storm clean-up during Winter months. Facilitates the custodial maintenance for new and renovated buildings. Provides expert consultation to campus departments regarding special maintenance needs.</w:t>
            </w:r>
          </w:p>
          <w:p w14:paraId="12D7CEB6" w14:textId="77777777" w:rsidR="00A556CF" w:rsidRDefault="00A556CF" w:rsidP="00A556CF">
            <w:pPr>
              <w:shd w:val="clear" w:color="auto" w:fill="FFFFFF"/>
              <w:textAlignment w:val="baseline"/>
              <w:rPr>
                <w:rFonts w:eastAsia="Times New Roman"/>
                <w:b/>
                <w:bCs/>
                <w:u w:val="single"/>
              </w:rPr>
            </w:pPr>
          </w:p>
        </w:tc>
        <w:tc>
          <w:tcPr>
            <w:tcW w:w="1867" w:type="dxa"/>
          </w:tcPr>
          <w:p w14:paraId="7C21C9E5" w14:textId="690C6920" w:rsidR="00A556CF" w:rsidRDefault="00A556CF" w:rsidP="00A556CF">
            <w:pPr>
              <w:jc w:val="center"/>
              <w:rPr>
                <w:sz w:val="20"/>
                <w:szCs w:val="20"/>
              </w:rPr>
            </w:pPr>
            <w:r>
              <w:rPr>
                <w:sz w:val="20"/>
                <w:szCs w:val="20"/>
              </w:rPr>
              <w:t>%</w:t>
            </w:r>
          </w:p>
        </w:tc>
      </w:tr>
      <w:tr w:rsidR="00A556CF" w:rsidRPr="00917F6C" w14:paraId="5A6A7C92" w14:textId="77777777" w:rsidTr="000F66BC">
        <w:trPr>
          <w:trHeight w:val="1061"/>
        </w:trPr>
        <w:tc>
          <w:tcPr>
            <w:tcW w:w="8820" w:type="dxa"/>
          </w:tcPr>
          <w:p w14:paraId="23CC85E7" w14:textId="4132CD82" w:rsidR="00A556CF" w:rsidRDefault="00A556CF" w:rsidP="00A556CF">
            <w:pPr>
              <w:rPr>
                <w:b/>
                <w:bCs/>
              </w:rPr>
            </w:pPr>
            <w:r>
              <w:rPr>
                <w:b/>
                <w:bCs/>
              </w:rPr>
              <w:t>Coordinates Special Events for the Department.</w:t>
            </w:r>
            <w:r>
              <w:rPr>
                <w:sz w:val="20"/>
              </w:rPr>
              <w:t xml:space="preserve"> </w:t>
            </w:r>
            <w:r w:rsidRPr="00C40696">
              <w:rPr>
                <w:szCs w:val="24"/>
              </w:rPr>
              <w:t xml:space="preserve">This includes set ups and special needs for final exams, Commencement, Alumni Weekend, Trustee Meetings, Employee Service Awards, </w:t>
            </w:r>
            <w:proofErr w:type="gramStart"/>
            <w:r w:rsidRPr="00C40696">
              <w:rPr>
                <w:szCs w:val="24"/>
              </w:rPr>
              <w:t>concerts</w:t>
            </w:r>
            <w:proofErr w:type="gramEnd"/>
            <w:r w:rsidRPr="00C40696">
              <w:rPr>
                <w:szCs w:val="24"/>
              </w:rPr>
              <w:t xml:space="preserve"> and other functions</w:t>
            </w:r>
            <w:r>
              <w:rPr>
                <w:szCs w:val="24"/>
              </w:rPr>
              <w:t>.</w:t>
            </w:r>
          </w:p>
        </w:tc>
        <w:tc>
          <w:tcPr>
            <w:tcW w:w="1867" w:type="dxa"/>
          </w:tcPr>
          <w:p w14:paraId="7839BF3D" w14:textId="63DB244C" w:rsidR="00A556CF" w:rsidRDefault="00A556CF" w:rsidP="00A556CF">
            <w:pPr>
              <w:jc w:val="center"/>
              <w:rPr>
                <w:sz w:val="20"/>
                <w:szCs w:val="20"/>
              </w:rPr>
            </w:pPr>
            <w:r>
              <w:rPr>
                <w:sz w:val="20"/>
                <w:szCs w:val="20"/>
              </w:rPr>
              <w:t>%</w:t>
            </w:r>
          </w:p>
        </w:tc>
      </w:tr>
      <w:tr w:rsidR="00A556CF" w:rsidRPr="00917F6C" w14:paraId="4D089EF9" w14:textId="77777777" w:rsidTr="000F66BC">
        <w:trPr>
          <w:trHeight w:val="1061"/>
        </w:trPr>
        <w:tc>
          <w:tcPr>
            <w:tcW w:w="8820" w:type="dxa"/>
          </w:tcPr>
          <w:p w14:paraId="1B3F0158" w14:textId="77777777" w:rsidR="00A556CF" w:rsidRPr="005C096E" w:rsidRDefault="00A556CF" w:rsidP="00A556CF">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5B235460" w14:textId="77777777" w:rsidR="00A556CF" w:rsidRDefault="00A556CF" w:rsidP="00A556CF">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A556CF" w:rsidRDefault="00A556CF" w:rsidP="00A556CF">
            <w:pPr>
              <w:shd w:val="clear" w:color="auto" w:fill="FFFFFF"/>
              <w:textAlignment w:val="baseline"/>
              <w:rPr>
                <w:rFonts w:eastAsia="Times New Roman"/>
              </w:rPr>
            </w:pPr>
          </w:p>
          <w:p w14:paraId="7DAA8976" w14:textId="4F4E574C" w:rsidR="00A556CF" w:rsidRPr="004E1AC5" w:rsidRDefault="00A556CF" w:rsidP="00A556CF">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A556CF" w:rsidRDefault="00A556CF" w:rsidP="00A556CF">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lastRenderedPageBreak/>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1" w:name="_Hlk121497094"/>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1"/>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2"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2"/>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D55C59"/>
    <w:multiLevelType w:val="hybridMultilevel"/>
    <w:tmpl w:val="2E30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768A2"/>
    <w:multiLevelType w:val="hybridMultilevel"/>
    <w:tmpl w:val="CBF6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534F0"/>
    <w:multiLevelType w:val="hybridMultilevel"/>
    <w:tmpl w:val="3898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6"/>
  </w:num>
  <w:num w:numId="2" w16cid:durableId="924386868">
    <w:abstractNumId w:val="17"/>
  </w:num>
  <w:num w:numId="3" w16cid:durableId="476383139">
    <w:abstractNumId w:val="1"/>
  </w:num>
  <w:num w:numId="4" w16cid:durableId="541334312">
    <w:abstractNumId w:val="22"/>
  </w:num>
  <w:num w:numId="5" w16cid:durableId="1910768250">
    <w:abstractNumId w:val="7"/>
  </w:num>
  <w:num w:numId="6" w16cid:durableId="524639340">
    <w:abstractNumId w:val="2"/>
  </w:num>
  <w:num w:numId="7" w16cid:durableId="1722053569">
    <w:abstractNumId w:val="13"/>
  </w:num>
  <w:num w:numId="8" w16cid:durableId="233274247">
    <w:abstractNumId w:val="15"/>
  </w:num>
  <w:num w:numId="9" w16cid:durableId="1045716727">
    <w:abstractNumId w:val="23"/>
  </w:num>
  <w:num w:numId="10" w16cid:durableId="89201606">
    <w:abstractNumId w:val="21"/>
  </w:num>
  <w:num w:numId="11" w16cid:durableId="1477836870">
    <w:abstractNumId w:val="20"/>
  </w:num>
  <w:num w:numId="12" w16cid:durableId="895823730">
    <w:abstractNumId w:val="8"/>
  </w:num>
  <w:num w:numId="13" w16cid:durableId="577135982">
    <w:abstractNumId w:val="4"/>
  </w:num>
  <w:num w:numId="14" w16cid:durableId="1746873520">
    <w:abstractNumId w:val="3"/>
  </w:num>
  <w:num w:numId="15" w16cid:durableId="1158839898">
    <w:abstractNumId w:val="0"/>
  </w:num>
  <w:num w:numId="16" w16cid:durableId="730538811">
    <w:abstractNumId w:val="19"/>
  </w:num>
  <w:num w:numId="17" w16cid:durableId="946816780">
    <w:abstractNumId w:val="11"/>
  </w:num>
  <w:num w:numId="18" w16cid:durableId="762842537">
    <w:abstractNumId w:val="14"/>
  </w:num>
  <w:num w:numId="19" w16cid:durableId="651570214">
    <w:abstractNumId w:val="16"/>
  </w:num>
  <w:num w:numId="20" w16cid:durableId="1494688178">
    <w:abstractNumId w:val="5"/>
  </w:num>
  <w:num w:numId="21" w16cid:durableId="933127738">
    <w:abstractNumId w:val="10"/>
  </w:num>
  <w:num w:numId="22" w16cid:durableId="1518882194">
    <w:abstractNumId w:val="9"/>
  </w:num>
  <w:num w:numId="23" w16cid:durableId="1126436809">
    <w:abstractNumId w:val="18"/>
  </w:num>
  <w:num w:numId="24" w16cid:durableId="299117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E55B9"/>
    <w:rsid w:val="000F66BC"/>
    <w:rsid w:val="00155F1E"/>
    <w:rsid w:val="0016265F"/>
    <w:rsid w:val="001B467A"/>
    <w:rsid w:val="00237EF3"/>
    <w:rsid w:val="002619B8"/>
    <w:rsid w:val="00293F92"/>
    <w:rsid w:val="002B6828"/>
    <w:rsid w:val="002F2EDC"/>
    <w:rsid w:val="003E3823"/>
    <w:rsid w:val="00451365"/>
    <w:rsid w:val="004936CA"/>
    <w:rsid w:val="004E1AC5"/>
    <w:rsid w:val="00502D59"/>
    <w:rsid w:val="006336DD"/>
    <w:rsid w:val="006356A8"/>
    <w:rsid w:val="00636857"/>
    <w:rsid w:val="00697B0D"/>
    <w:rsid w:val="007875E6"/>
    <w:rsid w:val="007965DE"/>
    <w:rsid w:val="007C50D5"/>
    <w:rsid w:val="007D1B2F"/>
    <w:rsid w:val="0080705F"/>
    <w:rsid w:val="00853698"/>
    <w:rsid w:val="008712AF"/>
    <w:rsid w:val="008A2A04"/>
    <w:rsid w:val="008A710B"/>
    <w:rsid w:val="008C6A61"/>
    <w:rsid w:val="009309C6"/>
    <w:rsid w:val="009D0BF4"/>
    <w:rsid w:val="00A556CF"/>
    <w:rsid w:val="00AD29B7"/>
    <w:rsid w:val="00AF31EE"/>
    <w:rsid w:val="00B30099"/>
    <w:rsid w:val="00B45BB6"/>
    <w:rsid w:val="00C14B47"/>
    <w:rsid w:val="00DC31A3"/>
    <w:rsid w:val="00DC33DC"/>
    <w:rsid w:val="00DE6E26"/>
    <w:rsid w:val="00E72BA1"/>
    <w:rsid w:val="00EB0080"/>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2024-03-04T15:53:00Z</dcterms:created>
  <dcterms:modified xsi:type="dcterms:W3CDTF">2024-03-04T15:53:00Z</dcterms:modified>
</cp:coreProperties>
</file>